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BHC Research MRI Scanner</w:t>
      </w:r>
    </w:p>
    <w:p xmlns:w="http://schemas.openxmlformats.org/wordprocessingml/2006/main" xmlns:pkg="http://schemas.microsoft.com/office/2006/xmlPackage" xmlns:str="http://exslt.org/strings" xmlns:fn="http://www.w3.org/2005/xpath-functions">
      <w:r>
        <w:rPr>
          <w:b/>
        </w:rPr>
        <w:t xml:space="preserve">Research MRI scanner</w:t>
      </w:r>
      <w:r>
        <w:t xml:space="preserve">: A dedicated research 3T MRI scanner is available to support BHC research activities. The 1,500 square foot suite is located on the first floor of the Emory Brain Health Center at 12 Executive Park. The scanner is a Siemens MAGNETOM Prisma scanner with day optimizing throughput (DOT) capable of head-to-toe imaging with an emphasis on neuroimaging. Utilizing XR 80/200 gradients, the most powerful commercially available gradients of any clinical scanner currently on the market, the scanner is capable of the most flexible parallel imaging while supporting demanding applications. A Medrad MRXperion MR injection system is available for intravenous contrast administration for contrast-enhanced MRI scans, if needed.</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