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Glycomics and Molecular Interactions Core </w:t>
      </w:r>
    </w:p>
    <w:p xmlns:w="http://schemas.openxmlformats.org/wordprocessingml/2006/main" xmlns:pkg="http://schemas.microsoft.com/office/2006/xmlPackage" xmlns:str="http://exslt.org/strings" xmlns:fn="http://www.w3.org/2005/xpath-functions">
      <w:r>
        <w:t xml:space="preserve">The </w:t>
      </w:r>
      <w:r>
        <w:t xml:space="preserve">Emory Glycomics and Molecular Interactions Core </w:t>
      </w:r>
      <w:r>
        <w:t xml:space="preserve">provides provides investigators with the tools and expertise needed to use rapidly evolving methods and technologies in the area of glycomics.</w:t>
      </w:r>
      <w:r>
        <w:t xml:space="preserve"> </w:t>
      </w:r>
    </w:p>
    <w:p xmlns:w="http://schemas.openxmlformats.org/wordprocessingml/2006/main" xmlns:pkg="http://schemas.microsoft.com/office/2006/xmlPackage" xmlns:str="http://exslt.org/strings" xmlns:fn="http://www.w3.org/2005/xpath-functions">
      <w:r>
        <w:t xml:space="preserve">The</w:t>
      </w:r>
      <w:r>
        <w:t xml:space="preserve">Emory Glycomics and Molecular Interactions Core </w:t>
      </w:r>
      <w:r>
        <w:t xml:space="preserve">provides state-of-the-art molecular interaction assay technologies and using surface plasmon resonance with a BiaCore X100, isothermal titration calorimetry with a MicroCAiAuto-iTC200, and glycan microarray analyses using a variety of glycan microarrays comprised of various classes of glycans.</w:t>
      </w:r>
    </w:p>
    <w:p xmlns:w="http://schemas.openxmlformats.org/wordprocessingml/2006/main" xmlns:pkg="http://schemas.microsoft.com/office/2006/xmlPackage" xmlns:str="http://exslt.org/strings" xmlns:fn="http://www.w3.org/2005/xpath-functions">
      <w:r>
        <w:t xml:space="preserve">The </w:t>
      </w:r>
      <w:r>
        <w:t xml:space="preserve">Emory Glycomics and Molecular Interactions Core </w:t>
      </w:r>
      <w:r>
        <w:t xml:space="preserve">is subsidized by the Emory University School of Medicine and is one of the Emory Integrated Core Facilities. Additional support is provided by the National Center for Advancing Translational Sciences of the National Institutes of Health under Award Number UL1TR000454.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