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Children's Healthcare of Atlanta: Egleston Research Space</w:t>
      </w:r>
    </w:p>
    <w:p xmlns:w="http://schemas.openxmlformats.org/wordprocessingml/2006/main" xmlns:pkg="http://schemas.microsoft.com/office/2006/xmlPackage" xmlns:str="http://exslt.org/strings" xmlns:fn="http://www.w3.org/2005/xpath-functions">
      <w:r>
        <w:t xml:space="preserve">Satellite research space at Egleston hospital provides space for research study visits that include services not offered at CAP such as MRI, CT, and the Cardiovascular Imaging Research Core. The fully equipped two-bed patient area is located on Egleston’ s ground floor in the sleep lab area and is staffed by Pediatric Clinical Research Unit (PCRU) team members. Use of this space for visits not offering services in CAP also includes access to all Children’s clinical services and departments including but not limited to radiology, cardiology, vascular access teams, sedation services, and Canines for Kids pet therapy. Additionally, participants enjoy access to family-centered amenities including wireless internet, an exercise area, sleep rooms, and a business center, family library, cafeteria, and coffee shop.</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