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Woodruff Leadership Academy</w:t>
      </w:r>
    </w:p>
    <w:p xmlns:w="http://schemas.openxmlformats.org/wordprocessingml/2006/main" xmlns:pkg="http://schemas.microsoft.com/office/2006/xmlPackage" xmlns:str="http://exslt.org/strings" xmlns:fn="http://www.w3.org/2005/xpath-functions">
      <w:r>
        <w:t xml:space="preserve">Founded in 2002, The Woodruff Leadership Academy was established to develop leadership potential in faculty and administration across the health sciences to create, articulate, and achieve organizational vision. It has 381 alumni.</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whsc.emory.edu/wla</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whsc.emory.edu/wla"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