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Cerebrovascular Research Library</w:t>
      </w:r>
    </w:p>
    <w:p xmlns:w="http://schemas.openxmlformats.org/wordprocessingml/2006/main" xmlns:pkg="http://schemas.microsoft.com/office/2006/xmlPackage" xmlns:str="http://exslt.org/strings" xmlns:fn="http://www.w3.org/2005/xpath-functions">
      <w:r>
        <w:rPr>
          <w:b/>
        </w:rPr>
        <w:t xml:space="preserve">The Cerebrovascular Research Laboratory</w:t>
      </w:r>
      <w:r>
        <w:t xml:space="preserve">, under the direction of Gustavo Pradilla, MD, is dedicated to the study of a wide range of clinical and basic science research to develop novel biomarkers, diagnostic tools, therapeutic agents and devices to improve clinical outcomes of patients with cerebrovascular disorders. The Cerebrovascular Research Laboratory partners with the Brain Research Laboratory from the Department of Emergency Medicine, building upon synergies to expand research opportunities.</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