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Computational Core</w:t>
      </w:r>
    </w:p>
    <w:p xmlns:w="http://schemas.openxmlformats.org/wordprocessingml/2006/main" xmlns:pkg="http://schemas.microsoft.com/office/2006/xmlPackage" xmlns:str="http://exslt.org/strings" xmlns:fn="http://www.w3.org/2005/xpath-functions">
      <w:r>
        <w:t xml:space="preserve">The Emory Integrated Computational Core (EICC) mission is to provide cutting-edge computational support and bioinformatics analysis to Emory researchers</w:t>
      </w:r>
      <w:r>
        <w:t xml:space="preserve"> and users of users of other Emory Integrated Core Facilities. In effect, we act as the "digital hub" for all the Emory Integrated Core Facilities.</w:t>
      </w:r>
      <w:r>
        <w:t xml:space="preserve"> </w:t>
      </w:r>
    </w:p>
    <w:p xmlns:w="http://schemas.openxmlformats.org/wordprocessingml/2006/main" xmlns:pkg="http://schemas.microsoft.com/office/2006/xmlPackage" xmlns:str="http://exslt.org/strings" xmlns:fn="http://www.w3.org/2005/xpath-functions">
      <w:r>
        <w:t xml:space="preserve">The Emory Integrated Computational Core (EICC) is subsidized by the Emory University School of Medicine and is one of the Emory Integrated Core Facilities. Additional support is provided by the National Center for Georgia Clinical &amp; Translational Science Alliance of the National Institutes of Health under Award Number UL1TR002378.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