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Metabolomics and Lipidomics Core</w:t>
      </w:r>
    </w:p>
    <w:p xmlns:w="http://schemas.openxmlformats.org/wordprocessingml/2006/main" xmlns:pkg="http://schemas.microsoft.com/office/2006/xmlPackage" xmlns:str="http://exslt.org/strings" xmlns:fn="http://www.w3.org/2005/xpath-functions">
      <w:r>
        <w:t xml:space="preserve">The Emory Integrated Metabolomics and Lipidomics Core (EILMC) Facility will provide quantitative lipidomics analyses on lipid samples from a wide variety of biological matrices, e.g. blood, serum, plasma, solid tissues, cell extracts, etc., to support both clinical and basic research efforts on campus. These analyses will provide insight on lipids and lipid precursors whose abundance can be monitored as biomarkers to predict and follow progression of a wide range of diseases.</w:t>
      </w:r>
      <w:r>
        <w:t xml:space="preserve"> </w:t>
      </w:r>
    </w:p>
    <w:p xmlns:w="http://schemas.openxmlformats.org/wordprocessingml/2006/main" xmlns:pkg="http://schemas.microsoft.com/office/2006/xmlPackage" xmlns:str="http://exslt.org/strings" xmlns:fn="http://www.w3.org/2005/xpath-functions">
      <w:r>
        <w:t xml:space="preserve">The Emory Integrated Metabolomics and Lipidomics Core (EILMC) is subsidized by the Emory University School of Medicine and is one of the Emory Integrated Core Facilities. Additional support is provided by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