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University Rodent Behavioral Core</w:t>
      </w:r>
    </w:p>
    <w:p xmlns:w="http://schemas.openxmlformats.org/wordprocessingml/2006/main" xmlns:pkg="http://schemas.microsoft.com/office/2006/xmlPackage" xmlns:str="http://exslt.org/strings" xmlns:fn="http://www.w3.org/2005/xpath-functions">
      <w:r>
        <w:t xml:space="preserve">The Emory University Rodent Behavioral Core (RBC) plans, executes, and analyzes behavioral experiments examining activity, arousal, coordinated movement, learning and memory, anxiety, depression, seizure susceptibility, reward/reinforcement, and aggression in mice and rats.</w:t>
      </w:r>
    </w:p>
    <w:p xmlns:w="http://schemas.openxmlformats.org/wordprocessingml/2006/main" xmlns:pkg="http://schemas.microsoft.com/office/2006/xmlPackage" xmlns:str="http://exslt.org/strings" xmlns:fn="http://www.w3.org/2005/xpath-functions">
      <w:r>
        <w:t xml:space="preserve">The Rodent Behavioral Core (RBC) is subsidized by the Emory University School of Medicine and is one of the Emory Integrated Core Facilities. Additional support is provided by the Emory Neuroscience NINDS Core Facilities (P30NS055077). Further support was provided by the Georgia Clinical &amp; Translational Science Alliance of the National Institutes of Health under Award Number UL1TR002378.</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