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Winship Cancer Institute - Facilities — Building C</w:t>
      </w:r>
    </w:p>
    <w:p xmlns:w="http://schemas.openxmlformats.org/wordprocessingml/2006/main" xmlns:pkg="http://schemas.microsoft.com/office/2006/xmlPackage" xmlns:str="http://exslt.org/strings" xmlns:fn="http://www.w3.org/2005/xpath-functions">
      <w:r>
        <w:t xml:space="preserve">Winship is headquartered in a seven-story 250,000 square foot building (Building C) housing the primary offices and clinical space for cancer services including the Winship Ambulatory Infusion Center, the department of radiation oncology primary clinical facility, and the medical oncology, hematology, and surgical oncology clinics. Breast imaging and radiology, including MRI, PET, and CT facilities, are also located in this building. Building C houses the Winship administrative suite, three floors of wet lab space, faculty offices, and is the primary location of the Winship Clinical Trials Office (CTO). Also located on the Winship main campus is the Patient and Family Resource Center, staffed with dedicated providers for supportive oncology, survivorship, social services, nutrition, and spiritual counseling.</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