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 - Facilities -- Phase I Unit</w:t>
      </w:r>
    </w:p>
    <w:p xmlns:w="http://schemas.openxmlformats.org/wordprocessingml/2006/main" xmlns:pkg="http://schemas.microsoft.com/office/2006/xmlPackage" xmlns:str="http://exslt.org/strings" xmlns:fn="http://www.w3.org/2005/xpath-functions">
      <w:r>
        <w:t xml:space="preserve">The Winship Phase I Unit, located on the fourth floor of the Emory University Hospital Tower, recently expanded in 2018 and tripled the size of the old unit, originally opened in 2009. The current unit is designed to be both patient-focused and able to support the painstaking demands of rigorous clinical research. It features 15 private treatment bays, four clinic rooms, plus many key support resources, including a dedicated lab for processing patient blood work, a dedicated secure medication room and a "fast track" bay with three chairs for rapid use by patients who might only require a short visit such as a research lab draw. The design of the space was guided by a multi-disciplinary team of patients, nurses, physicians, and research staff. It can also be used for obtaining PK and PD samples. During phase 1 trials, correlative science blood, tissue, and tumor samples (pharmacogenomic, pharmacokinetic, and pharmacodynamic markers) are obtained in the Phase I Unit and processed, stored, and shipped from the Phase I Unit laboratory.</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