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Clinical</w:t>
      </w:r>
    </w:p>
    <w:p xmlns:w="http://schemas.openxmlformats.org/wordprocessingml/2006/main" xmlns:pkg="http://schemas.microsoft.com/office/2006/xmlPackage" xmlns:str="http://exslt.org/strings" xmlns:fn="http://www.w3.org/2005/xpath-functions">
      <w:r>
        <w:t xml:space="preserve">Clinical activities of the Winship Cancer Institute occur within Winship itself, the Emory University campus, Emory Midtown Hospital campus, Emory Johns Creek, Emory St. Joseph’ Grady Health System campus, and Veterans Administration Hospital. The Winship building adds 68,035 sq. ft. of lab space, plus additional oncology support services for a total of 108,000 sq. ft. of clinical space. Clinical care is located in the tunnel and floors 1 and 2, while research occurs on floors 3, 4, and 5. A Phase I clinical trial unit was established specifically for Phase I trials and is currently in operation. The building is directly across from the Emory-Children’s Hospital and the Emory Children’s Clinic.</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