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Pediatrics</w:t>
      </w:r>
    </w:p>
    <w:p xmlns:w="http://schemas.openxmlformats.org/wordprocessingml/2006/main" xmlns:pkg="http://schemas.microsoft.com/office/2006/xmlPackage" xmlns:str="http://exslt.org/strings" xmlns:fn="http://www.w3.org/2005/xpath-functions">
      <w:r>
        <w:rPr>
          <w:b/>
        </w:rPr>
        <w:t xml:space="preserve">The Emory Department of Pediatrics</w:t>
      </w:r>
      <w:r>
        <w:t xml:space="preserve"> currently includes 231 faculty conducting research, 183 of whom are extramurally funded with over 548 extramurally funded research projects (grants and contracts). Growth in extramural research funding for the department has been on a considerable trajectory. In 2005, the Department of Pediatrics had just 193 total faculty members and reported approximately $10 million in extramural funding. By the end of fiscal year 2020, the faculty members in the DOP topped out at 498 and research funding levels were at $111.8 million in total funding and $80 million in NIH funding, which allowed them to achieve a #1 ranking for NIH funding in Departments of Pediatrics in both 2020, a ranking that was repeated in 2022. During Emory’s 2023 fiscal year, the pediatrics department received $164 million in total extramural funding, the highest amount in its history, exceeding 15% of all research funding for the university, ranking once again in the top five (achieving 8 consecutive years of this top ranking). Additionally, thirty researchers received $1 million or more in extramural funding. Of note, research grants in the Emory Department of Pediatrics are only a part of the overall research enterprise in child health at Emory. All child health related research funding at Emory University in FY22 was over $194M, which comprises about 21% of the entire Emory University funding portfolio.</w:t>
      </w:r>
    </w:p>
    <w:p xmlns:w="http://schemas.openxmlformats.org/wordprocessingml/2006/main" xmlns:pkg="http://schemas.microsoft.com/office/2006/xmlPackage" xmlns:str="http://exslt.org/strings" xmlns:fn="http://www.w3.org/2005/xpath-functions">
      <w:r>
        <w:t xml:space="preserve">In addition to $47 million in NIH grant funding that led to the No. 5 ranking, more than 1,800 publications in more than 800 journals in the same time period helped support groundbreaking efforts to develop new treatments or cures in 50 specialty areas. Rankings are calculated by the Blue Ridge Institute for Medical Research and only take into account direct NIH grants, which help develop research for the public good and were awarded to between October 1, 2022 and September 30, 2023. The rankings do not include NIH contracts, which are a means of procuring service for the government, such as the over $68 million in contracts awarded to researchers in the DOP during this fiscal year.</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